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B255" w14:textId="5DF1AD5E" w:rsidR="000D7312" w:rsidRPr="00052327" w:rsidRDefault="00290F23" w:rsidP="00DD7A06">
      <w:pPr>
        <w:jc w:val="center"/>
        <w:rPr>
          <w:b/>
          <w:bCs/>
        </w:rPr>
      </w:pPr>
      <w:r w:rsidRPr="00052327">
        <w:rPr>
          <w:b/>
          <w:bCs/>
        </w:rPr>
        <w:t>RESPUESTA OBSERVACIONES PLAN DE GESTION 2026, METAS Y PROGRAMACIÓN TRIMESTRAL</w:t>
      </w:r>
    </w:p>
    <w:p w14:paraId="3A33B270" w14:textId="3EBB0734" w:rsidR="00290F23" w:rsidRDefault="00290F23" w:rsidP="00DD7A06">
      <w:pPr>
        <w:jc w:val="both"/>
      </w:pPr>
      <w:r>
        <w:t>Atendiendo la solicitud recibida desde la Oficina Asesora de Planeación, relacionada con las metas y la programación que se dará de ellas en la vigencia 2026, el FDR-Sumapaz realiza las siguientes observaciones:</w:t>
      </w:r>
    </w:p>
    <w:p w14:paraId="0E351F6E" w14:textId="33150B95" w:rsidR="00290F23" w:rsidRPr="00052327" w:rsidRDefault="00290F23" w:rsidP="00DD7A06">
      <w:pPr>
        <w:jc w:val="both"/>
        <w:rPr>
          <w:b/>
          <w:bCs/>
          <w:u w:val="single"/>
        </w:rPr>
      </w:pPr>
      <w:r w:rsidRPr="00052327">
        <w:rPr>
          <w:b/>
          <w:bCs/>
          <w:u w:val="single"/>
        </w:rPr>
        <w:t>METAS</w:t>
      </w:r>
    </w:p>
    <w:p w14:paraId="358427BE" w14:textId="77777777" w:rsidR="00052327" w:rsidRDefault="00290F23" w:rsidP="00DD7A06">
      <w:pPr>
        <w:jc w:val="both"/>
      </w:pPr>
      <w:r w:rsidRPr="00052327">
        <w:rPr>
          <w:b/>
          <w:bCs/>
          <w:u w:val="single"/>
        </w:rPr>
        <w:t>Meta No. 1</w:t>
      </w:r>
      <w:r w:rsidRPr="00052327">
        <w:rPr>
          <w:b/>
          <w:bCs/>
        </w:rPr>
        <w:t xml:space="preserve"> </w:t>
      </w:r>
      <w:r w:rsidRPr="00052327">
        <w:rPr>
          <w:b/>
          <w:bCs/>
        </w:rPr>
        <w:t>Alcanzar el 25% el avance de las metas del Plan de Desarrollo Local acumuladas al 30 de septiembre de 2026 (metas entregadas)</w:t>
      </w:r>
      <w:r w:rsidRPr="00052327">
        <w:rPr>
          <w:b/>
          <w:bCs/>
        </w:rPr>
        <w:t xml:space="preserve">. </w:t>
      </w:r>
      <w:r>
        <w:t xml:space="preserve">  </w:t>
      </w:r>
      <w:r w:rsidR="00052327">
        <w:t>Se acepta el porcentaje de la meta y la programación definida para la vigencia 2026</w:t>
      </w:r>
    </w:p>
    <w:p w14:paraId="013DDE7E" w14:textId="77777777" w:rsidR="00052327" w:rsidRDefault="00290F23" w:rsidP="00DD7A06">
      <w:pPr>
        <w:jc w:val="both"/>
      </w:pPr>
      <w:r w:rsidRPr="00052327">
        <w:rPr>
          <w:b/>
          <w:bCs/>
          <w:u w:val="single"/>
        </w:rPr>
        <w:t>Meta No. 2</w:t>
      </w:r>
      <w:r w:rsidRPr="00052327">
        <w:rPr>
          <w:b/>
          <w:bCs/>
        </w:rPr>
        <w:t xml:space="preserve">; </w:t>
      </w:r>
      <w:r w:rsidRPr="00052327">
        <w:rPr>
          <w:b/>
          <w:bCs/>
        </w:rPr>
        <w:t>Girar mínimo el 72% del presupuesto comprometido constituido como obligaciones por pagar de la vigencia 2025</w:t>
      </w:r>
      <w:r w:rsidRPr="00052327">
        <w:rPr>
          <w:b/>
          <w:bCs/>
        </w:rPr>
        <w:t>.</w:t>
      </w:r>
      <w:r>
        <w:t xml:space="preserve"> </w:t>
      </w:r>
    </w:p>
    <w:p w14:paraId="0D3B6B0D" w14:textId="77777777" w:rsidR="00052327" w:rsidRDefault="00052327" w:rsidP="00DD7A06">
      <w:pPr>
        <w:jc w:val="both"/>
      </w:pPr>
      <w:r>
        <w:t>Se acepta el porcentaje de la meta y la programación definida para la vigencia 2026</w:t>
      </w:r>
    </w:p>
    <w:p w14:paraId="17F528E5" w14:textId="6CD6A000" w:rsidR="00290F23" w:rsidRDefault="00290F23" w:rsidP="00DD7A06">
      <w:pPr>
        <w:jc w:val="both"/>
      </w:pPr>
      <w:r w:rsidRPr="00052327">
        <w:rPr>
          <w:b/>
          <w:bCs/>
          <w:u w:val="single"/>
        </w:rPr>
        <w:t>Meta No. 3</w:t>
      </w:r>
      <w:r>
        <w:t xml:space="preserve">; </w:t>
      </w:r>
      <w:r w:rsidRPr="00290F23">
        <w:rPr>
          <w:b/>
          <w:bCs/>
        </w:rPr>
        <w:t>Girar mínimo el 69% del presupuesto comprometido constituido como obligaciones por pagar de la vigencia 2024 y anteriores</w:t>
      </w:r>
      <w:r w:rsidRPr="00290F23">
        <w:t>. </w:t>
      </w:r>
      <w:r>
        <w:t xml:space="preserve">  RTA; Con relación al % que nos indica la Oficina Asesora de Planeación, se medirá para la vigencia 2026 y tomando en cuenta que el comportamiento del indicador para la presente </w:t>
      </w:r>
      <w:r w:rsidR="00DD7A06">
        <w:t>vigencia</w:t>
      </w:r>
      <w:r>
        <w:t xml:space="preserve"> se encuentra en el 61,69%.  Amablemente se solicita considerar que la medición se realice sobre el 64%, esto como compromiso de la administración en el logro del cumplimiento de las meta y de un trabajo coordinado que permita garantizar la correcta ejecución de los proyectos, así como el seguimiento por parte de los apoyos a la supervisión.</w:t>
      </w:r>
    </w:p>
    <w:p w14:paraId="2143ECC0" w14:textId="77777777" w:rsidR="00DD7A06" w:rsidRDefault="00290F23" w:rsidP="00DD7A06">
      <w:pPr>
        <w:jc w:val="both"/>
      </w:pPr>
      <w:r w:rsidRPr="00DD7A06">
        <w:rPr>
          <w:b/>
          <w:bCs/>
          <w:u w:val="single"/>
        </w:rPr>
        <w:t>Meta No. 4</w:t>
      </w:r>
      <w:r w:rsidRPr="00052327">
        <w:rPr>
          <w:b/>
          <w:bCs/>
        </w:rPr>
        <w:t xml:space="preserve">: </w:t>
      </w:r>
      <w:r w:rsidR="00052327" w:rsidRPr="00052327">
        <w:rPr>
          <w:b/>
          <w:bCs/>
        </w:rPr>
        <w:t>Depurar mínimo el 92% de los contratos de prestación de servicios con persona natural constituidos como obligaciones por pagar</w:t>
      </w:r>
      <w:r w:rsidR="00052327" w:rsidRPr="00052327">
        <w:rPr>
          <w:b/>
          <w:bCs/>
        </w:rPr>
        <w:t>.</w:t>
      </w:r>
      <w:r w:rsidR="00052327">
        <w:t xml:space="preserve">  </w:t>
      </w:r>
    </w:p>
    <w:p w14:paraId="18BE34E1" w14:textId="00C50455" w:rsidR="00290F23" w:rsidRDefault="00052327" w:rsidP="00DD7A06">
      <w:pPr>
        <w:jc w:val="both"/>
      </w:pPr>
      <w:r>
        <w:t>Se acepta el porcentaje de la meta y la programación definida para la vigencia 2026</w:t>
      </w:r>
    </w:p>
    <w:p w14:paraId="796D6693" w14:textId="77777777" w:rsidR="00DD7A06" w:rsidRDefault="00052327" w:rsidP="00DD7A06">
      <w:pPr>
        <w:jc w:val="both"/>
        <w:rPr>
          <w:b/>
          <w:bCs/>
        </w:rPr>
      </w:pPr>
      <w:r w:rsidRPr="00052327">
        <w:rPr>
          <w:b/>
          <w:bCs/>
        </w:rPr>
        <w:t xml:space="preserve">Meta No. 5: </w:t>
      </w:r>
      <w:r w:rsidRPr="00052327">
        <w:rPr>
          <w:b/>
          <w:bCs/>
        </w:rPr>
        <w:t>Comprometer mínimo el 98,5% del presupuesto de inversión directa de la vigencia</w:t>
      </w:r>
      <w:r w:rsidRPr="00052327">
        <w:rPr>
          <w:b/>
          <w:bCs/>
        </w:rPr>
        <w:t xml:space="preserve">. </w:t>
      </w:r>
    </w:p>
    <w:p w14:paraId="3C8373EF" w14:textId="45DE3A3F" w:rsidR="00052327" w:rsidRDefault="00052327" w:rsidP="00DD7A06">
      <w:pPr>
        <w:jc w:val="both"/>
      </w:pPr>
      <w:r w:rsidRPr="00052327">
        <w:rPr>
          <w:b/>
          <w:bCs/>
        </w:rPr>
        <w:t xml:space="preserve"> </w:t>
      </w:r>
      <w:r>
        <w:t>Se acepta el porcentaje de la meta y la programación definida para la vigencia 2026</w:t>
      </w:r>
    </w:p>
    <w:p w14:paraId="601A8178" w14:textId="77777777" w:rsidR="00DD7A06" w:rsidRDefault="00052327" w:rsidP="00DD7A06">
      <w:pPr>
        <w:jc w:val="both"/>
      </w:pPr>
      <w:r w:rsidRPr="00052327">
        <w:rPr>
          <w:b/>
          <w:bCs/>
        </w:rPr>
        <w:t>Meta No. 6</w:t>
      </w:r>
      <w:r>
        <w:rPr>
          <w:b/>
          <w:bCs/>
        </w:rPr>
        <w:t xml:space="preserve"> </w:t>
      </w:r>
      <w:r w:rsidRPr="00052327">
        <w:rPr>
          <w:b/>
          <w:bCs/>
        </w:rPr>
        <w:t xml:space="preserve">Girar mínimo el 52% del presupuesto </w:t>
      </w:r>
      <w:r w:rsidRPr="00052327">
        <w:rPr>
          <w:b/>
          <w:bCs/>
        </w:rPr>
        <w:t>total disponible</w:t>
      </w:r>
      <w:r w:rsidRPr="00052327">
        <w:rPr>
          <w:b/>
          <w:bCs/>
        </w:rPr>
        <w:t xml:space="preserve"> de inversión directa de la vigencia</w:t>
      </w:r>
      <w:r w:rsidRPr="00052327">
        <w:rPr>
          <w:b/>
          <w:bCs/>
        </w:rPr>
        <w:t>.</w:t>
      </w:r>
      <w:r>
        <w:t xml:space="preserve"> </w:t>
      </w:r>
    </w:p>
    <w:p w14:paraId="0C05343C" w14:textId="75051C45" w:rsidR="00052327" w:rsidRPr="00052327" w:rsidRDefault="00052327" w:rsidP="00DD7A06">
      <w:pPr>
        <w:jc w:val="both"/>
      </w:pPr>
      <w:r>
        <w:t xml:space="preserve"> RTA: </w:t>
      </w:r>
      <w:r w:rsidRPr="00052327">
        <w:t>Con relación al porcentaje indicado por la Oficina Asesora de Planeación, se informa que para la vigencia 2026 se medirá teniendo en cuenta el comportamiento del indicador de la presente vigencia, el cual se encuentra en 31,04%.</w:t>
      </w:r>
    </w:p>
    <w:p w14:paraId="3EB19520" w14:textId="77777777" w:rsidR="00052327" w:rsidRDefault="00052327" w:rsidP="00DD7A06">
      <w:pPr>
        <w:jc w:val="both"/>
      </w:pPr>
      <w:r w:rsidRPr="00052327">
        <w:lastRenderedPageBreak/>
        <w:t>Amablemente, se solicita considerar que la medición se realice sobre un 40%, tomando como base el compromiso de una correcta ejecución y seguimiento presupuestal, lo cual permitirá garantizar el logro de la meta y afrontar el reto de superarla.</w:t>
      </w:r>
    </w:p>
    <w:p w14:paraId="207DB9D1" w14:textId="77777777" w:rsidR="00052327" w:rsidRPr="00052327" w:rsidRDefault="00052327" w:rsidP="00DD7A06">
      <w:pPr>
        <w:jc w:val="both"/>
        <w:rPr>
          <w:b/>
          <w:bCs/>
        </w:rPr>
      </w:pPr>
    </w:p>
    <w:p w14:paraId="5073818B" w14:textId="77777777" w:rsidR="00DD7A06" w:rsidRDefault="00052327" w:rsidP="00DD7A06">
      <w:pPr>
        <w:jc w:val="both"/>
        <w:rPr>
          <w:rFonts w:ascii="Aptos" w:hAnsi="Aptos" w:cs="Aptos"/>
          <w:b/>
          <w:bCs/>
        </w:rPr>
      </w:pPr>
      <w:r w:rsidRPr="00052327">
        <w:rPr>
          <w:b/>
          <w:bCs/>
        </w:rPr>
        <w:t xml:space="preserve">Meta No. 7: </w:t>
      </w:r>
      <w:r w:rsidRPr="00052327">
        <w:rPr>
          <w:b/>
          <w:bCs/>
        </w:rPr>
        <w:t>Lograr que el 98%</w:t>
      </w:r>
      <w:r w:rsidRPr="00052327">
        <w:rPr>
          <w:rFonts w:ascii="Arial" w:hAnsi="Arial" w:cs="Arial"/>
          <w:b/>
          <w:bCs/>
        </w:rPr>
        <w:t> </w:t>
      </w:r>
      <w:r w:rsidRPr="00052327">
        <w:rPr>
          <w:b/>
          <w:bCs/>
        </w:rPr>
        <w:t xml:space="preserve">de los contratos registrados en SIPSE-Local se encuentren dentro del sistema en estado </w:t>
      </w:r>
      <w:r w:rsidRPr="00052327">
        <w:rPr>
          <w:rFonts w:ascii="Aptos" w:hAnsi="Aptos" w:cs="Aptos"/>
          <w:b/>
          <w:bCs/>
        </w:rPr>
        <w:t>“</w:t>
      </w:r>
      <w:r w:rsidRPr="00052327">
        <w:rPr>
          <w:b/>
          <w:bCs/>
        </w:rPr>
        <w:t>ejecuci</w:t>
      </w:r>
      <w:r w:rsidRPr="00052327">
        <w:rPr>
          <w:rFonts w:ascii="Aptos" w:hAnsi="Aptos" w:cs="Aptos"/>
          <w:b/>
          <w:bCs/>
        </w:rPr>
        <w:t>ó</w:t>
      </w:r>
      <w:r w:rsidRPr="00052327">
        <w:rPr>
          <w:b/>
          <w:bCs/>
        </w:rPr>
        <w:t>n</w:t>
      </w:r>
      <w:r w:rsidRPr="00052327">
        <w:rPr>
          <w:rFonts w:ascii="Aptos" w:hAnsi="Aptos" w:cs="Aptos"/>
          <w:b/>
          <w:bCs/>
        </w:rPr>
        <w:t>”</w:t>
      </w:r>
      <w:r>
        <w:rPr>
          <w:rFonts w:ascii="Aptos" w:hAnsi="Aptos" w:cs="Aptos"/>
          <w:b/>
          <w:bCs/>
        </w:rPr>
        <w:t xml:space="preserve">. </w:t>
      </w:r>
    </w:p>
    <w:p w14:paraId="7818E467" w14:textId="73E5C2EA" w:rsidR="00052327" w:rsidRDefault="00052327" w:rsidP="00DD7A06">
      <w:pPr>
        <w:jc w:val="both"/>
      </w:pPr>
      <w:r>
        <w:t>Se acepta el porcentaje de la meta y la programación definida para la vigencia 2026</w:t>
      </w:r>
    </w:p>
    <w:p w14:paraId="28281C1F" w14:textId="77777777" w:rsidR="00DD7A06" w:rsidRDefault="00052327" w:rsidP="00DD7A06">
      <w:pPr>
        <w:jc w:val="both"/>
        <w:rPr>
          <w:b/>
          <w:bCs/>
        </w:rPr>
      </w:pPr>
      <w:r>
        <w:rPr>
          <w:b/>
          <w:bCs/>
        </w:rPr>
        <w:t xml:space="preserve">Meta No. 8: </w:t>
      </w:r>
      <w:r w:rsidRPr="00052327">
        <w:rPr>
          <w:b/>
          <w:bCs/>
        </w:rPr>
        <w:t>Registrar el avance del 100% de las metas de los proyectos de inversión de la vigencia 2026, en el Módulo de proyectos de SIPSE LOCAL</w:t>
      </w:r>
      <w:r>
        <w:rPr>
          <w:b/>
          <w:bCs/>
        </w:rPr>
        <w:t xml:space="preserve">. </w:t>
      </w:r>
    </w:p>
    <w:p w14:paraId="6E1A4D78" w14:textId="7A3D991E" w:rsidR="00052327" w:rsidRDefault="00052327" w:rsidP="00DD7A06">
      <w:pPr>
        <w:jc w:val="both"/>
      </w:pPr>
      <w:r>
        <w:t>Se acepta el porcentaje de la meta y la programación definida para la vigencia 2026</w:t>
      </w:r>
    </w:p>
    <w:p w14:paraId="0CFD8955" w14:textId="77777777" w:rsidR="00DD7A06" w:rsidRDefault="00052327" w:rsidP="00DD7A06">
      <w:pPr>
        <w:jc w:val="both"/>
        <w:rPr>
          <w:b/>
          <w:bCs/>
        </w:rPr>
      </w:pPr>
      <w:r>
        <w:rPr>
          <w:b/>
          <w:bCs/>
        </w:rPr>
        <w:t xml:space="preserve">Meta No.9; </w:t>
      </w:r>
      <w:r w:rsidRPr="00052327">
        <w:rPr>
          <w:b/>
          <w:bCs/>
        </w:rPr>
        <w:t>Realizar 12 actividades de prevención en materia de convivencia relacionadas con artículos pirotécnicos y sustancias peligrosas (socialización, sensibilización, charlas pedagógicas</w:t>
      </w:r>
      <w:r>
        <w:rPr>
          <w:b/>
          <w:bCs/>
        </w:rPr>
        <w:t>.</w:t>
      </w:r>
    </w:p>
    <w:p w14:paraId="5955C397" w14:textId="25CB8D6E" w:rsidR="00052327" w:rsidRDefault="00052327" w:rsidP="00DD7A06">
      <w:pPr>
        <w:jc w:val="both"/>
      </w:pPr>
      <w:r>
        <w:rPr>
          <w:b/>
          <w:bCs/>
        </w:rPr>
        <w:t xml:space="preserve"> </w:t>
      </w:r>
      <w:r>
        <w:t>Se acepta el porcentaje de la meta y la programación definida para la vigencia 2026</w:t>
      </w:r>
    </w:p>
    <w:p w14:paraId="60E95325" w14:textId="42AE1EDA" w:rsidR="00052327" w:rsidRDefault="00052327" w:rsidP="00DD7A06">
      <w:pPr>
        <w:jc w:val="both"/>
        <w:rPr>
          <w:b/>
          <w:bCs/>
        </w:rPr>
      </w:pPr>
      <w:r>
        <w:rPr>
          <w:b/>
          <w:bCs/>
        </w:rPr>
        <w:t xml:space="preserve">Meta No. 10; </w:t>
      </w:r>
      <w:r w:rsidRPr="00052327">
        <w:rPr>
          <w:b/>
          <w:bCs/>
        </w:rPr>
        <w:t>Realizar 18 actividades de prevención (socialización, sensibilización, charlas pedagógicas) del Código Nacional de Policía Ley 1801 de 2016 (2018) y métodos alternativos de resolución de conflictos a los habitantes de la localidad</w:t>
      </w:r>
      <w:r>
        <w:rPr>
          <w:b/>
          <w:bCs/>
        </w:rPr>
        <w:t>.</w:t>
      </w:r>
    </w:p>
    <w:p w14:paraId="777F9115" w14:textId="73EDCAE3" w:rsidR="00052327" w:rsidRDefault="00052327" w:rsidP="00DD7A06">
      <w:pPr>
        <w:jc w:val="both"/>
      </w:pPr>
      <w:r>
        <w:t>Se acepta el porcentaje de la meta y la programación definida para la vigencia 2026</w:t>
      </w:r>
    </w:p>
    <w:p w14:paraId="3CFC5EA6" w14:textId="030D6902" w:rsidR="00052327" w:rsidRPr="00052327" w:rsidRDefault="00052327" w:rsidP="00DD7A06">
      <w:pPr>
        <w:jc w:val="both"/>
        <w:rPr>
          <w:b/>
          <w:bCs/>
        </w:rPr>
      </w:pPr>
      <w:r w:rsidRPr="00052327">
        <w:rPr>
          <w:b/>
          <w:bCs/>
        </w:rPr>
        <w:t xml:space="preserve">Meta No. 11; </w:t>
      </w:r>
      <w:r w:rsidRPr="00052327">
        <w:rPr>
          <w:b/>
          <w:bCs/>
        </w:rPr>
        <w:t>Realizar 15 actividades de prevención (socialización, sensibilización, charlas pedagógicas, orientación personalizada) en materia de minería, medio ambiente y relación con los animales</w:t>
      </w:r>
      <w:r w:rsidRPr="00052327">
        <w:rPr>
          <w:b/>
          <w:bCs/>
        </w:rPr>
        <w:t>.</w:t>
      </w:r>
    </w:p>
    <w:p w14:paraId="5194C005" w14:textId="77777777" w:rsidR="00052327" w:rsidRDefault="00052327" w:rsidP="00DD7A06">
      <w:pPr>
        <w:jc w:val="both"/>
      </w:pPr>
      <w:r>
        <w:t>Se acepta el porcentaje de la meta y la programación definida para la vigencia 2026</w:t>
      </w:r>
    </w:p>
    <w:p w14:paraId="006F86D8" w14:textId="43400D0E" w:rsidR="00052327" w:rsidRDefault="00DD7A06" w:rsidP="00DD7A06">
      <w:pPr>
        <w:jc w:val="both"/>
      </w:pPr>
      <w:r w:rsidRPr="00DD7A06">
        <w:rPr>
          <w:b/>
          <w:bCs/>
          <w:u w:val="single"/>
        </w:rPr>
        <w:t>METAS TRANSVERSALES</w:t>
      </w:r>
      <w:r>
        <w:t>: Sin observación, se aceptan, así como la programación delas mismas.</w:t>
      </w:r>
    </w:p>
    <w:sectPr w:rsidR="000523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23"/>
    <w:rsid w:val="00052327"/>
    <w:rsid w:val="000A3AAB"/>
    <w:rsid w:val="000D7312"/>
    <w:rsid w:val="002714C6"/>
    <w:rsid w:val="00290F23"/>
    <w:rsid w:val="00426C61"/>
    <w:rsid w:val="00434CD5"/>
    <w:rsid w:val="00583E90"/>
    <w:rsid w:val="00652BA6"/>
    <w:rsid w:val="00692F6E"/>
    <w:rsid w:val="0085254A"/>
    <w:rsid w:val="009229CE"/>
    <w:rsid w:val="009B0645"/>
    <w:rsid w:val="00A133DC"/>
    <w:rsid w:val="00B074BA"/>
    <w:rsid w:val="00D725FD"/>
    <w:rsid w:val="00DD7A06"/>
    <w:rsid w:val="00E9482E"/>
    <w:rsid w:val="00F313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C74E"/>
  <w15:chartTrackingRefBased/>
  <w15:docId w15:val="{89FEE889-D60A-4F1C-BF5B-3B9FC297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90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0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0F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0F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0F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0F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0F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0F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0F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0F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0F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0F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0F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0F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0F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0F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0F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0F23"/>
    <w:rPr>
      <w:rFonts w:eastAsiaTheme="majorEastAsia" w:cstheme="majorBidi"/>
      <w:color w:val="272727" w:themeColor="text1" w:themeTint="D8"/>
    </w:rPr>
  </w:style>
  <w:style w:type="paragraph" w:styleId="Ttulo">
    <w:name w:val="Title"/>
    <w:basedOn w:val="Normal"/>
    <w:next w:val="Normal"/>
    <w:link w:val="TtuloCar"/>
    <w:uiPriority w:val="10"/>
    <w:qFormat/>
    <w:rsid w:val="00290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0F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0F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0F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0F23"/>
    <w:pPr>
      <w:spacing w:before="160"/>
      <w:jc w:val="center"/>
    </w:pPr>
    <w:rPr>
      <w:i/>
      <w:iCs/>
      <w:color w:val="404040" w:themeColor="text1" w:themeTint="BF"/>
    </w:rPr>
  </w:style>
  <w:style w:type="character" w:customStyle="1" w:styleId="CitaCar">
    <w:name w:val="Cita Car"/>
    <w:basedOn w:val="Fuentedeprrafopredeter"/>
    <w:link w:val="Cita"/>
    <w:uiPriority w:val="29"/>
    <w:rsid w:val="00290F23"/>
    <w:rPr>
      <w:i/>
      <w:iCs/>
      <w:color w:val="404040" w:themeColor="text1" w:themeTint="BF"/>
    </w:rPr>
  </w:style>
  <w:style w:type="paragraph" w:styleId="Prrafodelista">
    <w:name w:val="List Paragraph"/>
    <w:basedOn w:val="Normal"/>
    <w:uiPriority w:val="34"/>
    <w:qFormat/>
    <w:rsid w:val="00290F23"/>
    <w:pPr>
      <w:ind w:left="720"/>
      <w:contextualSpacing/>
    </w:pPr>
  </w:style>
  <w:style w:type="character" w:styleId="nfasisintenso">
    <w:name w:val="Intense Emphasis"/>
    <w:basedOn w:val="Fuentedeprrafopredeter"/>
    <w:uiPriority w:val="21"/>
    <w:qFormat/>
    <w:rsid w:val="00290F23"/>
    <w:rPr>
      <w:i/>
      <w:iCs/>
      <w:color w:val="0F4761" w:themeColor="accent1" w:themeShade="BF"/>
    </w:rPr>
  </w:style>
  <w:style w:type="paragraph" w:styleId="Citadestacada">
    <w:name w:val="Intense Quote"/>
    <w:basedOn w:val="Normal"/>
    <w:next w:val="Normal"/>
    <w:link w:val="CitadestacadaCar"/>
    <w:uiPriority w:val="30"/>
    <w:qFormat/>
    <w:rsid w:val="00290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0F23"/>
    <w:rPr>
      <w:i/>
      <w:iCs/>
      <w:color w:val="0F4761" w:themeColor="accent1" w:themeShade="BF"/>
    </w:rPr>
  </w:style>
  <w:style w:type="character" w:styleId="Referenciaintensa">
    <w:name w:val="Intense Reference"/>
    <w:basedOn w:val="Fuentedeprrafopredeter"/>
    <w:uiPriority w:val="32"/>
    <w:qFormat/>
    <w:rsid w:val="00290F23"/>
    <w:rPr>
      <w:b/>
      <w:bCs/>
      <w:smallCaps/>
      <w:color w:val="0F4761" w:themeColor="accent1" w:themeShade="BF"/>
      <w:spacing w:val="5"/>
    </w:rPr>
  </w:style>
  <w:style w:type="paragraph" w:styleId="NormalWeb">
    <w:name w:val="Normal (Web)"/>
    <w:basedOn w:val="Normal"/>
    <w:uiPriority w:val="99"/>
    <w:semiHidden/>
    <w:unhideWhenUsed/>
    <w:rsid w:val="000523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585</Words>
  <Characters>3222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Sumapaz Okr</dc:creator>
  <cp:keywords/>
  <dc:description/>
  <cp:lastModifiedBy>Sumapaz Okr</cp:lastModifiedBy>
  <cp:revision>1</cp:revision>
  <dcterms:created xsi:type="dcterms:W3CDTF">2025-12-01T19:30:00Z</dcterms:created>
  <dcterms:modified xsi:type="dcterms:W3CDTF">2025-12-01T19:56:00Z</dcterms:modified>
</cp:coreProperties>
</file>